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3FBE" w14:textId="01B375A3" w:rsidR="00852CB4" w:rsidRPr="007526F7" w:rsidRDefault="00A76236" w:rsidP="00A17DD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val="en-US"/>
        </w:rPr>
      </w:pPr>
      <w:r w:rsidRPr="007526F7">
        <w:rPr>
          <w:rFonts w:ascii="Times New Roman" w:eastAsia="Times New Roman" w:hAnsi="Times New Roman" w:cs="Times New Roman"/>
          <w:b/>
          <w:sz w:val="28"/>
          <w:szCs w:val="28"/>
          <w:highlight w:val="lightGray"/>
        </w:rPr>
        <w:t>Название доклада</w:t>
      </w:r>
    </w:p>
    <w:p w14:paraId="69D88606" w14:textId="77777777" w:rsidR="00BA78B6" w:rsidRPr="007526F7" w:rsidRDefault="00BA78B6" w:rsidP="00A17DDB">
      <w:pPr>
        <w:pStyle w:val="a"/>
        <w:spacing w:line="240" w:lineRule="auto"/>
        <w:ind w:firstLine="0"/>
        <w:jc w:val="center"/>
        <w:rPr>
          <w:rFonts w:ascii="Times New Roman" w:hAnsi="Times New Roman"/>
          <w:b/>
          <w:i/>
          <w:sz w:val="24"/>
          <w:highlight w:val="lightGray"/>
        </w:rPr>
      </w:pPr>
    </w:p>
    <w:p w14:paraId="0601DF62" w14:textId="503135DD" w:rsidR="00A17DDB" w:rsidRPr="007526F7" w:rsidRDefault="00A17DDB" w:rsidP="00A17DDB">
      <w:pPr>
        <w:pStyle w:val="a"/>
        <w:spacing w:line="240" w:lineRule="auto"/>
        <w:ind w:firstLine="0"/>
        <w:jc w:val="center"/>
        <w:rPr>
          <w:rFonts w:ascii="Times New Roman" w:hAnsi="Times New Roman"/>
          <w:b/>
          <w:i/>
          <w:sz w:val="24"/>
          <w:highlight w:val="lightGray"/>
          <w:vertAlign w:val="superscript"/>
        </w:rPr>
      </w:pPr>
      <w:r w:rsidRPr="007526F7">
        <w:rPr>
          <w:rFonts w:ascii="Times New Roman" w:hAnsi="Times New Roman"/>
          <w:b/>
          <w:i/>
          <w:sz w:val="24"/>
          <w:highlight w:val="lightGray"/>
        </w:rPr>
        <w:t xml:space="preserve">Д. П. </w:t>
      </w:r>
      <w:r w:rsidR="00A76236" w:rsidRPr="007526F7">
        <w:rPr>
          <w:rFonts w:ascii="Times New Roman" w:hAnsi="Times New Roman"/>
          <w:b/>
          <w:i/>
          <w:sz w:val="24"/>
          <w:highlight w:val="lightGray"/>
        </w:rPr>
        <w:t>Первый</w:t>
      </w:r>
      <w:r w:rsidRPr="007526F7">
        <w:rPr>
          <w:rFonts w:ascii="Times New Roman" w:hAnsi="Times New Roman"/>
          <w:b/>
          <w:i/>
          <w:sz w:val="24"/>
          <w:highlight w:val="lightGray"/>
          <w:vertAlign w:val="superscript"/>
        </w:rPr>
        <w:t>1</w:t>
      </w:r>
      <w:r w:rsidR="00BA78B6" w:rsidRPr="007526F7">
        <w:rPr>
          <w:rFonts w:ascii="Times New Roman" w:hAnsi="Times New Roman"/>
          <w:b/>
          <w:i/>
          <w:sz w:val="24"/>
          <w:highlight w:val="lightGray"/>
          <w:vertAlign w:val="superscript"/>
        </w:rPr>
        <w:t>*</w:t>
      </w:r>
      <w:r w:rsidRPr="007526F7">
        <w:rPr>
          <w:rFonts w:ascii="Times New Roman" w:hAnsi="Times New Roman"/>
          <w:b/>
          <w:i/>
          <w:sz w:val="24"/>
          <w:highlight w:val="lightGray"/>
        </w:rPr>
        <w:t xml:space="preserve">, П. А. </w:t>
      </w:r>
      <w:r w:rsidR="00A76236" w:rsidRPr="007526F7">
        <w:rPr>
          <w:rFonts w:ascii="Times New Roman" w:hAnsi="Times New Roman"/>
          <w:b/>
          <w:i/>
          <w:sz w:val="24"/>
          <w:highlight w:val="lightGray"/>
        </w:rPr>
        <w:t>Второй</w:t>
      </w:r>
      <w:r w:rsidR="00BA78B6" w:rsidRPr="007526F7">
        <w:rPr>
          <w:rFonts w:ascii="Times New Roman" w:hAnsi="Times New Roman"/>
          <w:b/>
          <w:i/>
          <w:sz w:val="24"/>
          <w:highlight w:val="lightGray"/>
          <w:vertAlign w:val="superscript"/>
        </w:rPr>
        <w:t>1</w:t>
      </w:r>
      <w:r w:rsidRPr="007526F7">
        <w:rPr>
          <w:rFonts w:ascii="Times New Roman" w:hAnsi="Times New Roman"/>
          <w:b/>
          <w:i/>
          <w:sz w:val="24"/>
          <w:highlight w:val="lightGray"/>
        </w:rPr>
        <w:t xml:space="preserve">, А. А. </w:t>
      </w:r>
      <w:r w:rsidR="00A76236" w:rsidRPr="007526F7">
        <w:rPr>
          <w:rFonts w:ascii="Times New Roman" w:hAnsi="Times New Roman"/>
          <w:b/>
          <w:i/>
          <w:sz w:val="24"/>
          <w:highlight w:val="lightGray"/>
        </w:rPr>
        <w:t>Третий</w:t>
      </w:r>
      <w:r w:rsidR="00BA78B6" w:rsidRPr="007526F7">
        <w:rPr>
          <w:rFonts w:ascii="Times New Roman" w:hAnsi="Times New Roman"/>
          <w:b/>
          <w:i/>
          <w:sz w:val="24"/>
          <w:highlight w:val="lightGray"/>
          <w:vertAlign w:val="superscript"/>
        </w:rPr>
        <w:t>1</w:t>
      </w:r>
      <w:r w:rsidR="00A76236" w:rsidRPr="007526F7">
        <w:rPr>
          <w:rFonts w:ascii="Times New Roman" w:hAnsi="Times New Roman"/>
          <w:b/>
          <w:i/>
          <w:sz w:val="24"/>
          <w:highlight w:val="lightGray"/>
          <w:vertAlign w:val="superscript"/>
        </w:rPr>
        <w:t>,2</w:t>
      </w:r>
      <w:r w:rsidRPr="007526F7">
        <w:rPr>
          <w:rFonts w:ascii="Times New Roman" w:hAnsi="Times New Roman"/>
          <w:b/>
          <w:i/>
          <w:sz w:val="24"/>
          <w:highlight w:val="lightGray"/>
        </w:rPr>
        <w:t xml:space="preserve">, Д. А. </w:t>
      </w:r>
      <w:r w:rsidR="00A76236" w:rsidRPr="007526F7">
        <w:rPr>
          <w:rFonts w:ascii="Times New Roman" w:hAnsi="Times New Roman"/>
          <w:b/>
          <w:i/>
          <w:sz w:val="24"/>
          <w:highlight w:val="lightGray"/>
        </w:rPr>
        <w:t>Четвертый</w:t>
      </w:r>
      <w:r w:rsidR="00A76236" w:rsidRPr="007526F7">
        <w:rPr>
          <w:rFonts w:ascii="Times New Roman" w:hAnsi="Times New Roman"/>
          <w:b/>
          <w:i/>
          <w:sz w:val="24"/>
          <w:highlight w:val="lightGray"/>
          <w:vertAlign w:val="superscript"/>
        </w:rPr>
        <w:t>2</w:t>
      </w:r>
    </w:p>
    <w:p w14:paraId="6F2477F9" w14:textId="77777777" w:rsidR="00BA78B6" w:rsidRPr="007526F7" w:rsidRDefault="00BA78B6" w:rsidP="00BA78B6">
      <w:pPr>
        <w:pStyle w:val="a"/>
        <w:spacing w:line="240" w:lineRule="auto"/>
        <w:ind w:firstLine="0"/>
        <w:jc w:val="center"/>
        <w:rPr>
          <w:rFonts w:ascii="Times New Roman" w:hAnsi="Times New Roman"/>
          <w:i/>
          <w:sz w:val="24"/>
          <w:highlight w:val="lightGray"/>
          <w:vertAlign w:val="superscript"/>
        </w:rPr>
      </w:pPr>
    </w:p>
    <w:p w14:paraId="5ADD7F10" w14:textId="5A285331" w:rsidR="00BA78B6" w:rsidRPr="007526F7" w:rsidRDefault="00BA78B6" w:rsidP="00BA78B6">
      <w:pPr>
        <w:pStyle w:val="a"/>
        <w:spacing w:line="240" w:lineRule="auto"/>
        <w:ind w:firstLine="0"/>
        <w:jc w:val="center"/>
        <w:rPr>
          <w:rFonts w:ascii="Times New Roman" w:hAnsi="Times New Roman"/>
          <w:i/>
          <w:sz w:val="24"/>
          <w:highlight w:val="lightGray"/>
        </w:rPr>
      </w:pPr>
      <w:r w:rsidRPr="007526F7">
        <w:rPr>
          <w:rFonts w:ascii="Times New Roman" w:hAnsi="Times New Roman"/>
          <w:i/>
          <w:sz w:val="24"/>
          <w:highlight w:val="lightGray"/>
          <w:vertAlign w:val="superscript"/>
        </w:rPr>
        <w:t>1</w:t>
      </w:r>
      <w:r w:rsidR="00A76236" w:rsidRPr="007526F7">
        <w:rPr>
          <w:rFonts w:ascii="Times New Roman" w:hAnsi="Times New Roman"/>
          <w:i/>
          <w:sz w:val="24"/>
          <w:highlight w:val="lightGray"/>
        </w:rPr>
        <w:t>Первая организация</w:t>
      </w:r>
      <w:r w:rsidRPr="007526F7">
        <w:rPr>
          <w:rFonts w:ascii="Times New Roman" w:hAnsi="Times New Roman"/>
          <w:i/>
          <w:sz w:val="24"/>
          <w:highlight w:val="lightGray"/>
        </w:rPr>
        <w:t xml:space="preserve">, </w:t>
      </w:r>
      <w:r w:rsidR="00A76236" w:rsidRPr="007526F7">
        <w:rPr>
          <w:rFonts w:ascii="Times New Roman" w:hAnsi="Times New Roman"/>
          <w:i/>
          <w:sz w:val="24"/>
          <w:highlight w:val="lightGray"/>
        </w:rPr>
        <w:t>Город</w:t>
      </w:r>
      <w:r w:rsidRPr="007526F7">
        <w:rPr>
          <w:rFonts w:ascii="Times New Roman" w:hAnsi="Times New Roman"/>
          <w:i/>
          <w:sz w:val="24"/>
          <w:highlight w:val="lightGray"/>
        </w:rPr>
        <w:t xml:space="preserve">, </w:t>
      </w:r>
      <w:r w:rsidR="00A76236" w:rsidRPr="007526F7">
        <w:rPr>
          <w:rFonts w:ascii="Times New Roman" w:hAnsi="Times New Roman"/>
          <w:i/>
          <w:sz w:val="24"/>
          <w:highlight w:val="lightGray"/>
        </w:rPr>
        <w:t>Страна</w:t>
      </w:r>
    </w:p>
    <w:p w14:paraId="50AE4CCC" w14:textId="41E70DA3" w:rsidR="00A76236" w:rsidRPr="007526F7" w:rsidRDefault="00A76236" w:rsidP="00A76236">
      <w:pPr>
        <w:pStyle w:val="a"/>
        <w:spacing w:line="240" w:lineRule="auto"/>
        <w:ind w:firstLine="0"/>
        <w:jc w:val="center"/>
        <w:rPr>
          <w:rFonts w:ascii="Times New Roman" w:hAnsi="Times New Roman"/>
          <w:i/>
          <w:sz w:val="24"/>
          <w:highlight w:val="lightGray"/>
        </w:rPr>
      </w:pPr>
      <w:r w:rsidRPr="007526F7">
        <w:rPr>
          <w:rFonts w:ascii="Times New Roman" w:hAnsi="Times New Roman"/>
          <w:i/>
          <w:sz w:val="24"/>
          <w:highlight w:val="lightGray"/>
          <w:vertAlign w:val="superscript"/>
        </w:rPr>
        <w:t>2</w:t>
      </w:r>
      <w:r w:rsidRPr="007526F7">
        <w:rPr>
          <w:rFonts w:ascii="Times New Roman" w:hAnsi="Times New Roman"/>
          <w:i/>
          <w:sz w:val="24"/>
          <w:highlight w:val="lightGray"/>
        </w:rPr>
        <w:t>Вторая организация, Город, Страна (если надо)</w:t>
      </w:r>
    </w:p>
    <w:p w14:paraId="04993DD1" w14:textId="1598386A" w:rsidR="00BA78B6" w:rsidRPr="00BA78B6" w:rsidRDefault="00BA78B6" w:rsidP="00BA78B6">
      <w:pPr>
        <w:pStyle w:val="a"/>
        <w:spacing w:line="240" w:lineRule="auto"/>
        <w:ind w:firstLine="0"/>
        <w:jc w:val="center"/>
        <w:rPr>
          <w:rFonts w:ascii="Times New Roman" w:hAnsi="Times New Roman"/>
          <w:i/>
          <w:sz w:val="24"/>
        </w:rPr>
      </w:pPr>
      <w:r w:rsidRPr="007526F7">
        <w:rPr>
          <w:rFonts w:ascii="Times New Roman" w:hAnsi="Times New Roman"/>
          <w:i/>
          <w:sz w:val="24"/>
          <w:highlight w:val="lightGray"/>
        </w:rPr>
        <w:t>*</w:t>
      </w:r>
      <w:r w:rsidRPr="007526F7">
        <w:rPr>
          <w:rFonts w:ascii="Times New Roman" w:hAnsi="Times New Roman"/>
          <w:i/>
          <w:sz w:val="24"/>
          <w:highlight w:val="lightGray"/>
          <w:lang w:val="en-US"/>
        </w:rPr>
        <w:t>e</w:t>
      </w:r>
      <w:r w:rsidRPr="007526F7">
        <w:rPr>
          <w:rFonts w:ascii="Times New Roman" w:hAnsi="Times New Roman"/>
          <w:i/>
          <w:sz w:val="24"/>
          <w:highlight w:val="lightGray"/>
        </w:rPr>
        <w:t>-</w:t>
      </w:r>
      <w:r w:rsidRPr="007526F7">
        <w:rPr>
          <w:rFonts w:ascii="Times New Roman" w:hAnsi="Times New Roman"/>
          <w:i/>
          <w:sz w:val="24"/>
          <w:highlight w:val="lightGray"/>
          <w:lang w:val="en-US"/>
        </w:rPr>
        <w:t>mail</w:t>
      </w:r>
      <w:r w:rsidRPr="007526F7">
        <w:rPr>
          <w:rFonts w:ascii="Times New Roman" w:hAnsi="Times New Roman"/>
          <w:i/>
          <w:sz w:val="24"/>
          <w:highlight w:val="lightGray"/>
        </w:rPr>
        <w:t xml:space="preserve">: </w:t>
      </w:r>
      <w:hyperlink r:id="rId8" w:history="1">
        <w:r w:rsidR="00A76236" w:rsidRPr="007526F7">
          <w:rPr>
            <w:rStyle w:val="Hyperlink"/>
            <w:rFonts w:ascii="Times New Roman" w:hAnsi="Times New Roman"/>
            <w:i/>
            <w:sz w:val="24"/>
            <w:highlight w:val="lightGray"/>
            <w:lang w:val="en-US"/>
          </w:rPr>
          <w:t>qqqq</w:t>
        </w:r>
        <w:r w:rsidR="00A76236" w:rsidRPr="007526F7">
          <w:rPr>
            <w:rStyle w:val="Hyperlink"/>
            <w:rFonts w:ascii="Times New Roman" w:hAnsi="Times New Roman"/>
            <w:i/>
            <w:sz w:val="24"/>
            <w:highlight w:val="lightGray"/>
          </w:rPr>
          <w:t>@</w:t>
        </w:r>
        <w:r w:rsidR="00A76236" w:rsidRPr="007526F7">
          <w:rPr>
            <w:rStyle w:val="Hyperlink"/>
            <w:rFonts w:ascii="Times New Roman" w:hAnsi="Times New Roman"/>
            <w:i/>
            <w:sz w:val="24"/>
            <w:highlight w:val="lightGray"/>
            <w:lang w:val="en-US"/>
          </w:rPr>
          <w:t>qqq</w:t>
        </w:r>
        <w:r w:rsidR="00A76236" w:rsidRPr="007526F7">
          <w:rPr>
            <w:rStyle w:val="Hyperlink"/>
            <w:rFonts w:ascii="Times New Roman" w:hAnsi="Times New Roman"/>
            <w:i/>
            <w:sz w:val="24"/>
            <w:highlight w:val="lightGray"/>
          </w:rPr>
          <w:t>.</w:t>
        </w:r>
        <w:r w:rsidR="00A76236" w:rsidRPr="007526F7">
          <w:rPr>
            <w:rStyle w:val="Hyperlink"/>
            <w:rFonts w:ascii="Times New Roman" w:hAnsi="Times New Roman"/>
            <w:i/>
            <w:sz w:val="24"/>
            <w:highlight w:val="lightGray"/>
            <w:lang w:val="en-US"/>
          </w:rPr>
          <w:t>ru</w:t>
        </w:r>
      </w:hyperlink>
    </w:p>
    <w:p w14:paraId="0889F6DF" w14:textId="77777777" w:rsidR="00BA78B6" w:rsidRPr="00BA78B6" w:rsidRDefault="00BA78B6" w:rsidP="00BA78B6">
      <w:pPr>
        <w:pStyle w:val="a"/>
        <w:spacing w:line="240" w:lineRule="auto"/>
        <w:ind w:firstLine="0"/>
        <w:jc w:val="center"/>
        <w:rPr>
          <w:rFonts w:ascii="Times New Roman" w:hAnsi="Times New Roman"/>
          <w:i/>
          <w:sz w:val="24"/>
        </w:rPr>
      </w:pPr>
    </w:p>
    <w:p w14:paraId="00000002" w14:textId="0FB310AF" w:rsidR="002E54E9" w:rsidRDefault="00A7623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Здесь приводится пример оформления тезисов 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Word.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Пожалуйста, выдерживайте предложенные параметры </w:t>
      </w:r>
      <w:r w:rsidR="00D905FD">
        <w:rPr>
          <w:rFonts w:ascii="Times New Roman" w:eastAsia="Times New Roman" w:hAnsi="Times New Roman" w:cs="Times New Roman"/>
          <w:sz w:val="24"/>
          <w:szCs w:val="24"/>
        </w:rPr>
        <w:t>форматирования для названия, аффилиации авторов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905FD">
        <w:rPr>
          <w:rFonts w:ascii="Times New Roman" w:eastAsia="Times New Roman" w:hAnsi="Times New Roman" w:cs="Times New Roman"/>
          <w:sz w:val="24"/>
          <w:szCs w:val="24"/>
        </w:rPr>
        <w:t xml:space="preserve">основного текста, подписей рисунков,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ссылок на </w:t>
      </w:r>
      <w:r w:rsidR="00D905FD">
        <w:rPr>
          <w:rFonts w:ascii="Times New Roman" w:eastAsia="Times New Roman" w:hAnsi="Times New Roman" w:cs="Times New Roman"/>
          <w:sz w:val="24"/>
          <w:szCs w:val="24"/>
        </w:rPr>
        <w:t>первоисточники</w:t>
      </w:r>
      <w:r w:rsidR="00211A08" w:rsidRPr="00BA78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05FD">
        <w:rPr>
          <w:rFonts w:ascii="Times New Roman" w:eastAsia="Times New Roman" w:hAnsi="Times New Roman" w:cs="Times New Roman"/>
          <w:sz w:val="24"/>
          <w:szCs w:val="24"/>
        </w:rPr>
        <w:t xml:space="preserve"> Максимальная длина тезисов докладов - 2 страницы.</w:t>
      </w:r>
      <w:r w:rsidR="007526F7">
        <w:rPr>
          <w:rFonts w:ascii="Times New Roman" w:eastAsia="Times New Roman" w:hAnsi="Times New Roman" w:cs="Times New Roman"/>
          <w:sz w:val="24"/>
          <w:szCs w:val="24"/>
        </w:rPr>
        <w:t xml:space="preserve"> Далее </w:t>
      </w:r>
      <w:r w:rsidR="0096430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4528E">
        <w:rPr>
          <w:rFonts w:ascii="Times New Roman" w:eastAsia="Times New Roman" w:hAnsi="Times New Roman" w:cs="Times New Roman"/>
          <w:sz w:val="24"/>
          <w:szCs w:val="24"/>
        </w:rPr>
        <w:t xml:space="preserve"> сам</w:t>
      </w:r>
      <w:r w:rsidR="009643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26F7">
        <w:rPr>
          <w:rFonts w:ascii="Times New Roman" w:eastAsia="Times New Roman" w:hAnsi="Times New Roman" w:cs="Times New Roman"/>
          <w:sz w:val="24"/>
          <w:szCs w:val="24"/>
        </w:rPr>
        <w:t>образ</w:t>
      </w:r>
      <w:r w:rsidR="0096430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526F7">
        <w:rPr>
          <w:rFonts w:ascii="Times New Roman" w:eastAsia="Times New Roman" w:hAnsi="Times New Roman" w:cs="Times New Roman"/>
          <w:sz w:val="24"/>
          <w:szCs w:val="24"/>
        </w:rPr>
        <w:t>ц</w:t>
      </w:r>
      <w:r w:rsidR="00964302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7526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3" w14:textId="1534D65C" w:rsidR="002E54E9" w:rsidRPr="007526F7" w:rsidRDefault="00852CB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Для </w:t>
      </w:r>
      <w:r w:rsidR="00834DC3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накачки и </w:t>
      </w:r>
      <w:r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управления режимами генерации таких лазеров используются лазерные диоды, которые необходимо контролировать по мощности излучения, току и температуре. </w:t>
      </w:r>
      <w:r w:rsidR="00834DC3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П</w:t>
      </w:r>
      <w:r w:rsidR="003C0A8E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итани</w:t>
      </w:r>
      <w:r w:rsidR="00834DC3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е</w:t>
      </w:r>
      <w:r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лазерных </w:t>
      </w:r>
      <w:r w:rsidR="00834DC3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диодов</w:t>
      </w:r>
      <w:r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="00834DC3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осуществляется постоянным током от </w:t>
      </w:r>
      <w:r w:rsidR="003C0A8E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электрическ</w:t>
      </w:r>
      <w:r w:rsidR="00834DC3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ого</w:t>
      </w:r>
      <w:r w:rsidR="003C0A8E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драйвер</w:t>
      </w:r>
      <w:r w:rsidR="00834DC3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а</w:t>
      </w:r>
      <w:r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, </w:t>
      </w:r>
      <w:r w:rsidR="00834DC3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величина которого определяется шириной запрещенной зоны используемого полупроводникового материала. </w:t>
      </w:r>
      <w:r w:rsidR="00447661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Однако, даже правильный в</w:t>
      </w:r>
      <w:r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ыбор </w:t>
      </w:r>
      <w:r w:rsidR="00834DC3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драйвера</w:t>
      </w:r>
      <w:r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="00447661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не гарантирует отсутствие других </w:t>
      </w:r>
      <w:r w:rsidR="00F443A6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факторов, влияющих на работу</w:t>
      </w:r>
      <w:r w:rsidR="00447661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лазерного диода, котор</w:t>
      </w:r>
      <w:r w:rsidR="00F443A6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ые, в конечном итоге, </w:t>
      </w:r>
      <w:r w:rsidR="003C0A8E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мо</w:t>
      </w:r>
      <w:r w:rsidR="00F443A6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гут</w:t>
      </w:r>
      <w:r w:rsidR="003C0A8E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="00F443A6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изменять</w:t>
      </w:r>
      <w:r w:rsidR="00447661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="003C0A8E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потребительские характеристики </w:t>
      </w:r>
      <w:r w:rsidR="00F443A6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самого </w:t>
      </w:r>
      <w:r w:rsidR="003C0A8E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волоконного лазера. </w:t>
      </w:r>
    </w:p>
    <w:p w14:paraId="00000004" w14:textId="1E204F70" w:rsidR="002E54E9" w:rsidRPr="007526F7" w:rsidRDefault="00211A08" w:rsidP="000A403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В данной работе</w:t>
      </w:r>
      <w:r w:rsidR="00EC5ABD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представлена система мониторинга и управления </w:t>
      </w:r>
      <w:r w:rsidR="000A4034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основных</w:t>
      </w:r>
      <w:r w:rsidR="00EC5ABD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параметров лазерного диода – температуры и тока. Основой является драйвер ОЕМ исполнения Wavelength Electronics LDTC 2/2 O.</w:t>
      </w:r>
      <w:r w:rsidR="000A4034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Данный драйвер с контроллером температуры сочетает в себе несколько важных функций для работы с лазерным диодом такие как: контроль температуры лазерного диода, управление токами накачки, напряжением на элементе Пельтье для охлаждения и нагрева диода [1]. </w:t>
      </w:r>
      <w:r w:rsidR="00EC5ABD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Недостатком этого драйвера является отсутствие элементов для отображения ус</w:t>
      </w:r>
      <w:r w:rsidR="000A4034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тановленных и актуальных тока и температуры диода. </w:t>
      </w:r>
    </w:p>
    <w:p w14:paraId="00000006" w14:textId="68588C65" w:rsidR="002E54E9" w:rsidRPr="007526F7" w:rsidRDefault="00C6619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Использование данного драйвера затрудн</w:t>
      </w:r>
      <w:r w:rsidR="00A550F1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ено</w:t>
      </w:r>
      <w:r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определением</w:t>
      </w:r>
      <w:r w:rsidR="00211A08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токов и температур. Для этого</w:t>
      </w:r>
      <w:r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к выводам</w:t>
      </w:r>
      <w:r w:rsidR="00211A08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необходимо подключать мониторы к выводам лазерного драйвера LDTC2/2O. Для одновременного отслеживания нескольких параметров </w:t>
      </w:r>
      <w:r w:rsidR="00A550F1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необходимо</w:t>
      </w:r>
      <w:r w:rsidR="00211A08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использовать несколько мониторов и в дальнейшем </w:t>
      </w:r>
      <w:r w:rsidR="003A3702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рассчитывать</w:t>
      </w:r>
      <w:r w:rsidR="00211A08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данные с помощью уравнений в другие величины, что не практично и долго. </w:t>
      </w:r>
    </w:p>
    <w:p w14:paraId="280EE7F8" w14:textId="7B962120" w:rsidR="009907A8" w:rsidRPr="007526F7" w:rsidRDefault="00C95172" w:rsidP="00C95172">
      <w:pPr>
        <w:jc w:val="center"/>
        <w:rPr>
          <w:b/>
          <w:noProof/>
          <w:highlight w:val="lightGray"/>
          <w:lang w:val="en-US"/>
        </w:rPr>
      </w:pPr>
      <w:r w:rsidRPr="007526F7">
        <w:rPr>
          <w:b/>
          <w:noProof/>
          <w:highlight w:val="lightGray"/>
          <w:lang w:val="en-US"/>
        </w:rPr>
        <w:t xml:space="preserve">  </w:t>
      </w:r>
      <w:r w:rsidR="009907A8" w:rsidRPr="007526F7">
        <w:rPr>
          <w:b/>
          <w:noProof/>
          <w:highlight w:val="lightGray"/>
        </w:rPr>
        <w:drawing>
          <wp:inline distT="0" distB="0" distL="0" distR="0" wp14:anchorId="7D220FAC" wp14:editId="21D0BFC1">
            <wp:extent cx="1545293" cy="1570059"/>
            <wp:effectExtent l="0" t="0" r="0" b="0"/>
            <wp:docPr id="9972055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404" cy="16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26F7">
        <w:rPr>
          <w:b/>
          <w:noProof/>
          <w:highlight w:val="lightGray"/>
          <w:lang w:val="en-US"/>
        </w:rPr>
        <w:t xml:space="preserve">          </w:t>
      </w:r>
      <w:r w:rsidRPr="007526F7">
        <w:rPr>
          <w:noProof/>
          <w:highlight w:val="lightGray"/>
        </w:rPr>
        <w:drawing>
          <wp:inline distT="0" distB="0" distL="0" distR="0" wp14:anchorId="05B8BEC1" wp14:editId="05894F0B">
            <wp:extent cx="4152900" cy="1542276"/>
            <wp:effectExtent l="0" t="0" r="0" b="1270"/>
            <wp:docPr id="13472061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778" cy="154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95172" w:rsidRPr="007526F7" w14:paraId="7EB27EDA" w14:textId="77777777" w:rsidTr="00C95172">
        <w:tc>
          <w:tcPr>
            <w:tcW w:w="4814" w:type="dxa"/>
          </w:tcPr>
          <w:p w14:paraId="43A07324" w14:textId="299A969D" w:rsidR="00C95172" w:rsidRPr="007526F7" w:rsidRDefault="00C95172" w:rsidP="00C95172">
            <w:pPr>
              <w:ind w:firstLine="28"/>
              <w:jc w:val="center"/>
              <w:rPr>
                <w:rFonts w:eastAsia="Times New Roman"/>
                <w:sz w:val="24"/>
                <w:szCs w:val="24"/>
                <w:highlight w:val="lightGray"/>
                <w:lang w:val="en-US"/>
              </w:rPr>
            </w:pPr>
            <w:r w:rsidRPr="007526F7">
              <w:rPr>
                <w:highlight w:val="lightGray"/>
              </w:rPr>
              <w:t>Рис.1. Электрическая схема установки</w:t>
            </w:r>
          </w:p>
        </w:tc>
        <w:tc>
          <w:tcPr>
            <w:tcW w:w="4814" w:type="dxa"/>
          </w:tcPr>
          <w:p w14:paraId="7D6DF73B" w14:textId="2E60F84F" w:rsidR="00C95172" w:rsidRPr="007526F7" w:rsidRDefault="00C95172" w:rsidP="00C95172">
            <w:pPr>
              <w:jc w:val="center"/>
              <w:rPr>
                <w:rFonts w:eastAsia="Times New Roman"/>
                <w:sz w:val="24"/>
                <w:szCs w:val="24"/>
                <w:highlight w:val="lightGray"/>
              </w:rPr>
            </w:pPr>
            <w:r w:rsidRPr="007526F7">
              <w:rPr>
                <w:highlight w:val="lightGray"/>
              </w:rPr>
              <w:t>Рис.2. Солитонный волоконный эрбиевый лазер на нелинейном вращении поляризации</w:t>
            </w:r>
          </w:p>
        </w:tc>
      </w:tr>
    </w:tbl>
    <w:p w14:paraId="100E40B4" w14:textId="77777777" w:rsidR="00C95172" w:rsidRPr="007526F7" w:rsidRDefault="00C95172" w:rsidP="00C95172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14:paraId="29B74E35" w14:textId="14D1F900" w:rsidR="00330F19" w:rsidRPr="007526F7" w:rsidRDefault="00447FC9" w:rsidP="00330F1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Использовав микроконтроллер</w:t>
      </w:r>
      <w:r w:rsidR="00211A08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Arduino nano</w:t>
      </w:r>
      <w:r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удалось решить данную проблему. Оценка входных сигналов производилась подачей</w:t>
      </w:r>
      <w:r w:rsidR="00211A08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опорного напряжения через с</w:t>
      </w:r>
      <w:r w:rsidR="00C66192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хему повторителя напряжения </w:t>
      </w:r>
      <w:r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с лазерного драйвера на микроконтроллер Arduino nano</w:t>
      </w:r>
      <w:r w:rsidR="00211A08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. </w:t>
      </w:r>
      <w:r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Необходимые для оценки напряжения </w:t>
      </w:r>
      <w:r w:rsidR="00A550F1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подавались с выводов</w:t>
      </w:r>
      <w:r w:rsidR="00211A08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драйвера</w:t>
      </w:r>
      <w:r w:rsidR="00A550F1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на</w:t>
      </w:r>
      <w:r w:rsidR="00211A08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аналоговые в</w:t>
      </w:r>
      <w:r w:rsidR="00A550F1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ходы</w:t>
      </w:r>
      <w:r w:rsidR="00211A08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микроконтроллера Arduino nano и в дальнейшем с помощью программы переводились в другие величины. </w:t>
      </w:r>
      <w:r w:rsidR="00A550F1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Д</w:t>
      </w:r>
      <w:r w:rsidR="00211A08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ля отображения информации </w:t>
      </w:r>
      <w:r w:rsidR="00A550F1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использовался</w:t>
      </w:r>
      <w:r w:rsidR="00211A08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жидкокристаллический монитор 1602 с шиной I2C для простого подключения к микроконтроллеру</w:t>
      </w:r>
      <w:r w:rsidR="00A550F1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Arduino nano</w:t>
      </w:r>
      <w:r w:rsidR="00330F19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(Рис.1)</w:t>
      </w:r>
      <w:r w:rsidR="00211A08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. Для переключения информации на жидкокристаллическом дисплее к цифров</w:t>
      </w:r>
      <w:r w:rsidR="00A550F1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ому выводу микроконтроллер</w:t>
      </w:r>
      <w:r w:rsidR="00330F19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а был подключен переключатель.</w:t>
      </w:r>
    </w:p>
    <w:p w14:paraId="00000007" w14:textId="3048F6E8" w:rsidR="002E54E9" w:rsidRPr="007526F7" w:rsidRDefault="00A550F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lastRenderedPageBreak/>
        <w:t>Чтоб</w:t>
      </w:r>
      <w:r w:rsidR="00C432CA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ы не повредить элем</w:t>
      </w:r>
      <w:r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енты</w:t>
      </w:r>
      <w:r w:rsidR="00211A08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во время эксплуатации и настройки, был разработан и напечатан корпус на 3D принтере [2]. Он состоит из двух частей: Первая часть необходима для микроконтроллера Arduino, который вместе с обвязкой располагается на макетной плате. Вторая часть нужна для монтажа всех оставшихся компонентов.</w:t>
      </w:r>
    </w:p>
    <w:p w14:paraId="00000008" w14:textId="3AF3E941" w:rsidR="002E54E9" w:rsidRPr="007526F7" w:rsidRDefault="00211A0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Для анализа и преобразования напряжений в нужные величины был использован язык программирования Arduino C. С помощью уравнения Стейнхарта — Харта напряжение на термоэлектрическом охладителе было переведено в температуру [3]. Коэффициент </w:t>
      </w:r>
      <m:oMath>
        <m:r>
          <w:rPr>
            <w:rFonts w:ascii="Cambria Math" w:hAnsi="Cambria Math"/>
            <w:sz w:val="24"/>
            <w:szCs w:val="24"/>
            <w:highlight w:val="lightGray"/>
          </w:rPr>
          <m:t>β</m:t>
        </m:r>
      </m:oMath>
      <w:r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и сопротивление термистора на термоэлектрическом охладителе, взяты из документации подключённого лазерного диода. С помощью закона Ома и коэффициента из документации лазерного драйвера, вычислен актуальный ток. Так как вывода на разъёме лазерного драйвера под заданный ток лазерного диода не было, его вывод был подключен напрямую к схеме лазерного драйвера. Коэффициент перевода напряжения в заданный ток был найден с помощью линейной аппроксимации </w:t>
      </w:r>
      <w:r w:rsidR="00A550F1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тока на нагрузке, имитирующей </w:t>
      </w:r>
      <w:r w:rsidR="00A550F1" w:rsidRPr="007526F7">
        <w:rPr>
          <w:rFonts w:ascii="Times New Roman" w:eastAsia="Times New Roman" w:hAnsi="Times New Roman" w:cs="Times New Roman"/>
          <w:sz w:val="24"/>
          <w:szCs w:val="24"/>
          <w:highlight w:val="lightGray"/>
          <w:lang w:val="en-US"/>
        </w:rPr>
        <w:t>TEC</w:t>
      </w:r>
      <w:r w:rsidR="00A550F1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от напряжения на лазерном драйвере</w:t>
      </w:r>
      <w:r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. Частота обновлений данных задана </w:t>
      </w:r>
      <w:r w:rsidR="00A550F1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половина </w:t>
      </w:r>
      <w:r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секунды, как самая оптимальная для отображения, а предел отображения необходимых величин составляет 3 знака после запятой.</w:t>
      </w:r>
    </w:p>
    <w:p w14:paraId="64B71F01" w14:textId="4C531586" w:rsidR="00330F19" w:rsidRPr="007526F7" w:rsidRDefault="00211A08" w:rsidP="00330F1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Данная система использовалась для получения гармонической синхронизации мод в связке с волоконным лазером</w:t>
      </w:r>
      <w:r w:rsidR="00330F19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(Рис.2)</w:t>
      </w:r>
      <w:r w:rsidR="00A550F1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. В</w:t>
      </w:r>
      <w:r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качестве источника накачки использовался лазерный диод 1999CHB. С помощью данной схемы удалось определить погрешность системы измерения температуры</w:t>
      </w:r>
      <w:r w:rsidR="00A550F1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. Она составила 0.05</w:t>
      </w:r>
      <w:r w:rsidR="00330F19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℃</w:t>
      </w:r>
      <w:r w:rsidR="00A550F1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. Погрешность тока составила 0.005 </w:t>
      </w:r>
      <w:r w:rsidR="00330F19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А</w:t>
      </w:r>
      <w:r w:rsidR="00A550F1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. С помощью волоконного лазера прове</w:t>
      </w:r>
      <w:r w:rsidR="00330F19" w:rsidRPr="007526F7">
        <w:rPr>
          <w:rFonts w:ascii="Times New Roman" w:eastAsia="Times New Roman" w:hAnsi="Times New Roman" w:cs="Times New Roman"/>
          <w:sz w:val="24"/>
          <w:szCs w:val="24"/>
          <w:highlight w:val="lightGray"/>
        </w:rPr>
        <w:t>рена стабильность системы.</w:t>
      </w:r>
    </w:p>
    <w:p w14:paraId="349F35B1" w14:textId="50A1E157" w:rsidR="00330F19" w:rsidRPr="007526F7" w:rsidRDefault="00330F19" w:rsidP="009907A8">
      <w:pPr>
        <w:rPr>
          <w:rFonts w:ascii="Times New Roman" w:hAnsi="Times New Roman"/>
          <w:highlight w:val="lightGray"/>
        </w:rPr>
      </w:pPr>
    </w:p>
    <w:p w14:paraId="15BF82ED" w14:textId="77777777" w:rsidR="00BA78B6" w:rsidRPr="007526F7" w:rsidRDefault="00BA78B6" w:rsidP="00BA78B6">
      <w:pPr>
        <w:pStyle w:val="a0"/>
        <w:spacing w:before="0" w:after="0" w:line="240" w:lineRule="auto"/>
        <w:ind w:left="720"/>
        <w:rPr>
          <w:rFonts w:ascii="Times New Roman" w:hAnsi="Times New Roman"/>
          <w:sz w:val="24"/>
          <w:szCs w:val="24"/>
          <w:highlight w:val="lightGray"/>
          <w:lang w:val="ru-RU"/>
        </w:rPr>
      </w:pPr>
      <w:r w:rsidRPr="007526F7">
        <w:rPr>
          <w:rFonts w:ascii="Times New Roman" w:hAnsi="Times New Roman"/>
          <w:sz w:val="24"/>
          <w:szCs w:val="24"/>
          <w:highlight w:val="lightGray"/>
          <w:lang w:val="ru-RU"/>
        </w:rPr>
        <w:t>Литература</w:t>
      </w:r>
    </w:p>
    <w:p w14:paraId="0000000B" w14:textId="41D8F58D" w:rsidR="002E54E9" w:rsidRPr="007526F7" w:rsidRDefault="00C432CA" w:rsidP="00C432CA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highlight w:val="lightGray"/>
          <w:lang w:val="en-US"/>
        </w:rPr>
      </w:pPr>
      <w:r w:rsidRPr="007526F7">
        <w:rPr>
          <w:rFonts w:ascii="Times New Roman" w:eastAsia="Times New Roman" w:hAnsi="Times New Roman" w:cs="Times New Roman"/>
          <w:sz w:val="24"/>
          <w:szCs w:val="28"/>
          <w:highlight w:val="lightGray"/>
          <w:lang w:val="en-US"/>
        </w:rPr>
        <w:t>Marhic</w:t>
      </w:r>
      <w:r w:rsidR="00A550F1" w:rsidRPr="007526F7">
        <w:rPr>
          <w:rFonts w:ascii="Times New Roman" w:eastAsia="Times New Roman" w:hAnsi="Times New Roman" w:cs="Times New Roman"/>
          <w:sz w:val="24"/>
          <w:szCs w:val="28"/>
          <w:highlight w:val="lightGray"/>
          <w:lang w:val="en-US"/>
        </w:rPr>
        <w:t xml:space="preserve">, M.E., Andrekson, P.A., Petropoulos, P., Radic, S., Peucheret, C. and Jazayerifar, M., Fiber optical parametric amplifiers in optical communication systems. Laser &amp; Photonics Reviews, </w:t>
      </w:r>
      <w:r w:rsidRPr="007526F7">
        <w:rPr>
          <w:rFonts w:ascii="Times New Roman" w:eastAsia="Times New Roman" w:hAnsi="Times New Roman" w:cs="Times New Roman"/>
          <w:sz w:val="24"/>
          <w:szCs w:val="28"/>
          <w:highlight w:val="lightGray"/>
          <w:lang w:val="en-US"/>
        </w:rPr>
        <w:t xml:space="preserve">vol. </w:t>
      </w:r>
      <w:r w:rsidR="00A550F1" w:rsidRPr="007526F7">
        <w:rPr>
          <w:rFonts w:ascii="Times New Roman" w:eastAsia="Times New Roman" w:hAnsi="Times New Roman" w:cs="Times New Roman"/>
          <w:sz w:val="24"/>
          <w:szCs w:val="28"/>
          <w:highlight w:val="lightGray"/>
          <w:lang w:val="en-US"/>
        </w:rPr>
        <w:t>9</w:t>
      </w:r>
      <w:r w:rsidRPr="007526F7">
        <w:rPr>
          <w:rFonts w:ascii="Times New Roman" w:eastAsia="Times New Roman" w:hAnsi="Times New Roman" w:cs="Times New Roman"/>
          <w:sz w:val="24"/>
          <w:szCs w:val="28"/>
          <w:highlight w:val="lightGray"/>
          <w:lang w:val="en-US"/>
        </w:rPr>
        <w:t>, pp. 50-74, 2015.</w:t>
      </w:r>
    </w:p>
    <w:p w14:paraId="559CC4EE" w14:textId="34B1A33D" w:rsidR="00C432CA" w:rsidRPr="007526F7" w:rsidRDefault="00C432CA" w:rsidP="00C432CA">
      <w:pPr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highlight w:val="lightGray"/>
          <w:lang w:val="en-US"/>
        </w:rPr>
      </w:pPr>
      <w:r w:rsidRPr="007526F7">
        <w:rPr>
          <w:rFonts w:ascii="Times New Roman" w:eastAsia="Times New Roman" w:hAnsi="Times New Roman" w:cs="Times New Roman"/>
          <w:sz w:val="24"/>
          <w:szCs w:val="28"/>
          <w:highlight w:val="lightGray"/>
          <w:lang w:val="en-US"/>
        </w:rPr>
        <w:t>Hong Wei Tan, Yu Ying Clarrisa Choong, Che Nan Kuo, Hong Yee Low, Chee Kai Chua,3D printed electronics: Processes, materials and future trends, Progress in Materials Science, Volume 127, 2022.</w:t>
      </w:r>
    </w:p>
    <w:p w14:paraId="0000000D" w14:textId="0B0F467A" w:rsidR="002E54E9" w:rsidRPr="00BA78B6" w:rsidRDefault="00C432CA" w:rsidP="00C432CA">
      <w:pPr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 w:rsidRPr="007526F7">
        <w:rPr>
          <w:rFonts w:ascii="Times New Roman" w:eastAsia="Times New Roman" w:hAnsi="Times New Roman" w:cs="Times New Roman"/>
          <w:sz w:val="24"/>
          <w:szCs w:val="28"/>
          <w:highlight w:val="lightGray"/>
          <w:lang w:val="en-US"/>
        </w:rPr>
        <w:t>K. P. S. Rana, V. Kumar, A. K. Dagar, A. Chandel and A. Kataria, "FPGA Implementation of Steinhart–Hart Equation for Accurate Thermistor Linearization," in IEEE Sensors Journal, vol. 18, no. 6, pp. 2260-2267, 15 March15, 2018</w:t>
      </w:r>
    </w:p>
    <w:sectPr w:rsidR="002E54E9" w:rsidRPr="00BA78B6" w:rsidSect="00BA78B6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FDA7F" w14:textId="77777777" w:rsidR="008722D7" w:rsidRDefault="008722D7" w:rsidP="00BA78B6">
      <w:r>
        <w:separator/>
      </w:r>
    </w:p>
  </w:endnote>
  <w:endnote w:type="continuationSeparator" w:id="0">
    <w:p w14:paraId="2E801787" w14:textId="77777777" w:rsidR="008722D7" w:rsidRDefault="008722D7" w:rsidP="00BA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8E50E" w14:textId="77777777" w:rsidR="008722D7" w:rsidRDefault="008722D7" w:rsidP="00BA78B6">
      <w:r>
        <w:separator/>
      </w:r>
    </w:p>
  </w:footnote>
  <w:footnote w:type="continuationSeparator" w:id="0">
    <w:p w14:paraId="1698207D" w14:textId="77777777" w:rsidR="008722D7" w:rsidRDefault="008722D7" w:rsidP="00BA7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F2888"/>
    <w:multiLevelType w:val="multilevel"/>
    <w:tmpl w:val="60CC00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74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E9"/>
    <w:rsid w:val="0005739D"/>
    <w:rsid w:val="000A1059"/>
    <w:rsid w:val="000A4034"/>
    <w:rsid w:val="00211A08"/>
    <w:rsid w:val="002E54E9"/>
    <w:rsid w:val="00330F19"/>
    <w:rsid w:val="003A3702"/>
    <w:rsid w:val="003C0A8E"/>
    <w:rsid w:val="00447661"/>
    <w:rsid w:val="00447FC9"/>
    <w:rsid w:val="00485859"/>
    <w:rsid w:val="0053563D"/>
    <w:rsid w:val="00644563"/>
    <w:rsid w:val="0064528E"/>
    <w:rsid w:val="006E3E71"/>
    <w:rsid w:val="007526F7"/>
    <w:rsid w:val="00834DC3"/>
    <w:rsid w:val="00852CB4"/>
    <w:rsid w:val="008722D7"/>
    <w:rsid w:val="0093524E"/>
    <w:rsid w:val="00964302"/>
    <w:rsid w:val="009907A8"/>
    <w:rsid w:val="00A009F9"/>
    <w:rsid w:val="00A17DDB"/>
    <w:rsid w:val="00A550F1"/>
    <w:rsid w:val="00A76236"/>
    <w:rsid w:val="00AB206B"/>
    <w:rsid w:val="00B2398E"/>
    <w:rsid w:val="00BA78B6"/>
    <w:rsid w:val="00C432CA"/>
    <w:rsid w:val="00C66192"/>
    <w:rsid w:val="00C95172"/>
    <w:rsid w:val="00D12972"/>
    <w:rsid w:val="00D364C5"/>
    <w:rsid w:val="00D905FD"/>
    <w:rsid w:val="00DC5F70"/>
    <w:rsid w:val="00E5422D"/>
    <w:rsid w:val="00EB3518"/>
    <w:rsid w:val="00EC5ABD"/>
    <w:rsid w:val="00F443A6"/>
    <w:rsid w:val="00F9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83B204"/>
  <w15:docId w15:val="{60A58DD3-C024-4FB9-8412-486674E4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1"/>
    </w:pPr>
    <w:rPr>
      <w:rFonts w:ascii="SimSun" w:eastAsia="SimSun" w:hAnsi="SimSun" w:cs="SimSun"/>
      <w:b/>
      <w:i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432CA"/>
    <w:pPr>
      <w:ind w:left="720"/>
      <w:contextualSpacing/>
    </w:pPr>
  </w:style>
  <w:style w:type="paragraph" w:customStyle="1" w:styleId="a">
    <w:name w:val="Просто текст"/>
    <w:qFormat/>
    <w:rsid w:val="00A17DDB"/>
    <w:pPr>
      <w:spacing w:line="320" w:lineRule="exact"/>
      <w:ind w:firstLine="397"/>
      <w:jc w:val="both"/>
    </w:pPr>
    <w:rPr>
      <w:rFonts w:cs="Times New Roman"/>
      <w:sz w:val="28"/>
      <w:szCs w:val="22"/>
      <w:lang w:eastAsia="en-US"/>
    </w:rPr>
  </w:style>
  <w:style w:type="paragraph" w:customStyle="1" w:styleId="a0">
    <w:name w:val="Просто ссылка"/>
    <w:basedOn w:val="a"/>
    <w:qFormat/>
    <w:rsid w:val="00BA78B6"/>
    <w:pPr>
      <w:spacing w:before="120" w:after="60"/>
      <w:ind w:firstLine="0"/>
    </w:pPr>
    <w:rPr>
      <w:b/>
      <w:lang w:val="en-IE"/>
    </w:rPr>
  </w:style>
  <w:style w:type="character" w:styleId="Hyperlink">
    <w:name w:val="Hyperlink"/>
    <w:rsid w:val="00BA78B6"/>
    <w:rPr>
      <w:color w:val="000099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78B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8B6"/>
  </w:style>
  <w:style w:type="character" w:styleId="FootnoteReference">
    <w:name w:val="footnote reference"/>
    <w:basedOn w:val="DefaultParagraphFont"/>
    <w:uiPriority w:val="99"/>
    <w:semiHidden/>
    <w:unhideWhenUsed/>
    <w:rsid w:val="00BA78B6"/>
    <w:rPr>
      <w:vertAlign w:val="superscript"/>
    </w:rPr>
  </w:style>
  <w:style w:type="table" w:styleId="TableGrid">
    <w:name w:val="Table Grid"/>
    <w:basedOn w:val="TableNormal"/>
    <w:uiPriority w:val="59"/>
    <w:qFormat/>
    <w:rsid w:val="00BA78B6"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76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qqq@qqq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8560E-1C02-4AF5-B41A-195D5C4B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Andrei Fotiadi</cp:lastModifiedBy>
  <cp:revision>6</cp:revision>
  <dcterms:created xsi:type="dcterms:W3CDTF">2025-08-31T09:57:00Z</dcterms:created>
  <dcterms:modified xsi:type="dcterms:W3CDTF">2025-08-31T11:07:00Z</dcterms:modified>
</cp:coreProperties>
</file>